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656" w:rsidRDefault="00F65656" w:rsidP="00F65656">
      <w:p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C. Garner and N. </w:t>
      </w:r>
      <w:proofErr w:type="spellStart"/>
      <w:r>
        <w:rPr>
          <w:rFonts w:ascii="Times New Roman" w:hAnsi="Times New Roman"/>
          <w:sz w:val="22"/>
        </w:rPr>
        <w:t>Letki</w:t>
      </w:r>
      <w:proofErr w:type="spellEnd"/>
      <w:r>
        <w:rPr>
          <w:rFonts w:ascii="Times New Roman" w:hAnsi="Times New Roman"/>
          <w:sz w:val="22"/>
        </w:rPr>
        <w:t xml:space="preserve">, “Party Structure and Backbench Dissent in the Canadian and British Parliaments,” </w:t>
      </w:r>
      <w:r>
        <w:rPr>
          <w:rFonts w:ascii="Times New Roman" w:hAnsi="Times New Roman"/>
          <w:i/>
          <w:sz w:val="22"/>
        </w:rPr>
        <w:t xml:space="preserve">CJPS </w:t>
      </w:r>
      <w:r>
        <w:rPr>
          <w:rFonts w:ascii="Times New Roman" w:hAnsi="Times New Roman"/>
          <w:sz w:val="22"/>
        </w:rPr>
        <w:t>38</w:t>
      </w:r>
    </w:p>
    <w:p w:rsidR="00F65656" w:rsidRDefault="00F65656" w:rsidP="00F65656">
      <w:pPr>
        <w:spacing w:after="12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Overview</w:t>
      </w:r>
    </w:p>
    <w:p w:rsidR="00486F24" w:rsidRDefault="00F65656" w:rsidP="00F65656">
      <w:p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Authors analyze intra-party determinants of dissenting behaviour of government backbenchers. Authors find that the major factor determining </w:t>
      </w:r>
      <w:proofErr w:type="gramStart"/>
      <w:r>
        <w:rPr>
          <w:rFonts w:ascii="Times New Roman" w:hAnsi="Times New Roman"/>
          <w:sz w:val="22"/>
        </w:rPr>
        <w:t>cross-voting</w:t>
      </w:r>
      <w:proofErr w:type="gramEnd"/>
      <w:r>
        <w:rPr>
          <w:rFonts w:ascii="Times New Roman" w:hAnsi="Times New Roman"/>
          <w:sz w:val="22"/>
        </w:rPr>
        <w:t xml:space="preserve">, next to MPs tenure, </w:t>
      </w:r>
      <w:r w:rsidR="00D543D6">
        <w:rPr>
          <w:rFonts w:ascii="Times New Roman" w:hAnsi="Times New Roman"/>
          <w:sz w:val="22"/>
        </w:rPr>
        <w:t xml:space="preserve">is perceptions of isolation from party communication and influence channels. Results suggest that the difference in the dissent levels between </w:t>
      </w:r>
      <w:proofErr w:type="spellStart"/>
      <w:r w:rsidR="00D543D6">
        <w:rPr>
          <w:rFonts w:ascii="Times New Roman" w:hAnsi="Times New Roman"/>
          <w:sz w:val="22"/>
        </w:rPr>
        <w:t>Cdn</w:t>
      </w:r>
      <w:proofErr w:type="spellEnd"/>
      <w:r w:rsidR="00D543D6">
        <w:rPr>
          <w:rFonts w:ascii="Times New Roman" w:hAnsi="Times New Roman"/>
          <w:sz w:val="22"/>
        </w:rPr>
        <w:t xml:space="preserve"> and British </w:t>
      </w:r>
      <w:proofErr w:type="spellStart"/>
      <w:r w:rsidR="00D543D6">
        <w:rPr>
          <w:rFonts w:ascii="Times New Roman" w:hAnsi="Times New Roman"/>
          <w:sz w:val="22"/>
        </w:rPr>
        <w:t>HOCs</w:t>
      </w:r>
      <w:proofErr w:type="spellEnd"/>
      <w:r w:rsidR="00D543D6">
        <w:rPr>
          <w:rFonts w:ascii="Times New Roman" w:hAnsi="Times New Roman"/>
          <w:sz w:val="22"/>
        </w:rPr>
        <w:t xml:space="preserve"> can be explained by </w:t>
      </w:r>
      <w:proofErr w:type="gramStart"/>
      <w:r w:rsidR="00D543D6">
        <w:rPr>
          <w:rFonts w:ascii="Times New Roman" w:hAnsi="Times New Roman"/>
          <w:sz w:val="22"/>
        </w:rPr>
        <w:t>front-benchers</w:t>
      </w:r>
      <w:proofErr w:type="gramEnd"/>
      <w:r w:rsidR="00D543D6">
        <w:rPr>
          <w:rFonts w:ascii="Times New Roman" w:hAnsi="Times New Roman"/>
          <w:sz w:val="22"/>
        </w:rPr>
        <w:t xml:space="preserve">’ approach to managing the major resource of the party, </w:t>
      </w:r>
      <w:r w:rsidR="00EB49EF">
        <w:rPr>
          <w:rFonts w:ascii="Times New Roman" w:hAnsi="Times New Roman"/>
          <w:sz w:val="22"/>
        </w:rPr>
        <w:t>i.e. backbenchers</w:t>
      </w:r>
      <w:r w:rsidR="00486F24">
        <w:rPr>
          <w:rFonts w:ascii="Times New Roman" w:hAnsi="Times New Roman"/>
          <w:sz w:val="22"/>
        </w:rPr>
        <w:t>.</w:t>
      </w:r>
    </w:p>
    <w:p w:rsidR="00486F24" w:rsidRDefault="00486F24" w:rsidP="00F65656">
      <w:pPr>
        <w:spacing w:after="12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Background</w:t>
      </w:r>
    </w:p>
    <w:p w:rsidR="00486F24" w:rsidRPr="00486F24" w:rsidRDefault="00486F24" w:rsidP="00486F24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486F24">
        <w:rPr>
          <w:rFonts w:ascii="Times New Roman" w:hAnsi="Times New Roman"/>
          <w:sz w:val="22"/>
        </w:rPr>
        <w:t>In late 1980s, C.E.S. Franks argued that party discipline is stronger in Canada than it is in the British HOC</w:t>
      </w:r>
    </w:p>
    <w:p w:rsidR="00486F24" w:rsidRDefault="00486F24" w:rsidP="00486F24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 decade later, the evidence appears to support this – when looking at backbench dissent: 15% of bills attracted dissent in UK Parliament, while only 3.7% of bills attracting backbench dissent in Canada</w:t>
      </w:r>
    </w:p>
    <w:p w:rsidR="00486F24" w:rsidRPr="00486F24" w:rsidRDefault="00486F24" w:rsidP="00486F24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Paper aims to explain why the voting behaviour of MPs operating within two almost identical institutional systems differs so radically</w:t>
      </w:r>
    </w:p>
    <w:p w:rsidR="00486F24" w:rsidRDefault="00486F24" w:rsidP="00486F24">
      <w:pPr>
        <w:spacing w:after="120"/>
        <w:rPr>
          <w:rFonts w:ascii="Times New Roman" w:hAnsi="Times New Roman"/>
          <w:sz w:val="22"/>
          <w:u w:val="single"/>
        </w:rPr>
      </w:pPr>
      <w:r w:rsidRPr="00486F24">
        <w:rPr>
          <w:rFonts w:ascii="Times New Roman" w:hAnsi="Times New Roman"/>
          <w:sz w:val="22"/>
          <w:u w:val="single"/>
        </w:rPr>
        <w:t>Explaining Cohesion/Dissent</w:t>
      </w:r>
    </w:p>
    <w:p w:rsidR="00486F24" w:rsidRDefault="00486F24" w:rsidP="00486F24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486F24">
        <w:rPr>
          <w:rFonts w:ascii="Times New Roman" w:hAnsi="Times New Roman"/>
          <w:sz w:val="22"/>
        </w:rPr>
        <w:t xml:space="preserve">Institutional approaches to cohesion/dissent in legislative bodies usually refer to 2 main groups of factors: </w:t>
      </w:r>
    </w:p>
    <w:p w:rsidR="00486F24" w:rsidRDefault="00486F24" w:rsidP="00486F24">
      <w:pPr>
        <w:pStyle w:val="ListParagraph"/>
        <w:numPr>
          <w:ilvl w:val="0"/>
          <w:numId w:val="3"/>
        </w:numPr>
        <w:spacing w:after="120"/>
        <w:ind w:left="1560" w:hanging="56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</w:t>
      </w:r>
      <w:r w:rsidRPr="00486F24">
        <w:rPr>
          <w:rFonts w:ascii="Times New Roman" w:hAnsi="Times New Roman"/>
          <w:sz w:val="22"/>
        </w:rPr>
        <w:t xml:space="preserve">he type of governmental system (parliamentary vs. presidential) or levels of inter-party competition within Parliament; and </w:t>
      </w:r>
    </w:p>
    <w:p w:rsidR="00486F24" w:rsidRPr="00486F24" w:rsidRDefault="00486F24" w:rsidP="00486F24">
      <w:pPr>
        <w:pStyle w:val="ListParagraph"/>
        <w:numPr>
          <w:ilvl w:val="0"/>
          <w:numId w:val="3"/>
        </w:numPr>
        <w:spacing w:after="120"/>
        <w:ind w:left="1560" w:hanging="56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Considering party as a discrete system </w:t>
      </w:r>
      <w:r w:rsidR="007E7898">
        <w:rPr>
          <w:rFonts w:ascii="Times New Roman" w:hAnsi="Times New Roman"/>
          <w:sz w:val="22"/>
        </w:rPr>
        <w:t>that affects MPs’ attitudes/behaviours. Intra-party factors are hypothesized to influence MP voting behaviour (such as socializing effects of the party on MPs, institution of the party whip, ideological distance between leader and backbencher, etc)</w:t>
      </w:r>
    </w:p>
    <w:p w:rsidR="007E7898" w:rsidRDefault="007E7898" w:rsidP="007E7898">
      <w:pPr>
        <w:pStyle w:val="ListParagraph"/>
        <w:numPr>
          <w:ilvl w:val="2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Authors add a new one: they believe that the internal party structure and backbenchers’ perceptions of opportunities to voice their concerns/objections </w:t>
      </w:r>
      <w:r>
        <w:rPr>
          <w:rFonts w:ascii="Times New Roman" w:hAnsi="Times New Roman"/>
          <w:i/>
          <w:sz w:val="22"/>
        </w:rPr>
        <w:t xml:space="preserve">prior </w:t>
      </w:r>
      <w:r>
        <w:rPr>
          <w:rFonts w:ascii="Times New Roman" w:hAnsi="Times New Roman"/>
          <w:sz w:val="22"/>
        </w:rPr>
        <w:t>to voting is crucial for levels of dissent in Parliament.</w:t>
      </w:r>
    </w:p>
    <w:p w:rsidR="00865591" w:rsidRDefault="00865591" w:rsidP="00865591">
      <w:p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Conclusions</w:t>
      </w:r>
    </w:p>
    <w:p w:rsidR="00865591" w:rsidRPr="00865591" w:rsidRDefault="00865591" w:rsidP="00865591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865591">
        <w:rPr>
          <w:rFonts w:ascii="Times New Roman" w:hAnsi="Times New Roman"/>
          <w:sz w:val="22"/>
        </w:rPr>
        <w:t>Found that, against a popular socialization and de</w:t>
      </w:r>
      <w:r>
        <w:rPr>
          <w:rFonts w:ascii="Times New Roman" w:hAnsi="Times New Roman"/>
          <w:sz w:val="22"/>
        </w:rPr>
        <w:t>-</w:t>
      </w:r>
      <w:r w:rsidRPr="00865591">
        <w:rPr>
          <w:rFonts w:ascii="Times New Roman" w:hAnsi="Times New Roman"/>
          <w:sz w:val="22"/>
        </w:rPr>
        <w:t>radicalization thesis, long tenure in Parliament increases backbench MPs’ independence from the party, making dissenting behaviour more likely.</w:t>
      </w:r>
    </w:p>
    <w:p w:rsidR="006A64F8" w:rsidRDefault="00865591" w:rsidP="006A64F8">
      <w:pPr>
        <w:pStyle w:val="ListParagraph"/>
        <w:numPr>
          <w:ilvl w:val="0"/>
          <w:numId w:val="1"/>
        </w:numPr>
        <w:tabs>
          <w:tab w:val="left" w:pos="3402"/>
        </w:tabs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Also found that in the UK Labour party, </w:t>
      </w:r>
      <w:proofErr w:type="gramStart"/>
      <w:r>
        <w:rPr>
          <w:rFonts w:ascii="Times New Roman" w:hAnsi="Times New Roman"/>
          <w:sz w:val="22"/>
        </w:rPr>
        <w:t>right-wing</w:t>
      </w:r>
      <w:proofErr w:type="gramEnd"/>
      <w:r>
        <w:rPr>
          <w:rFonts w:ascii="Times New Roman" w:hAnsi="Times New Roman"/>
          <w:sz w:val="22"/>
        </w:rPr>
        <w:t xml:space="preserve"> MPs </w:t>
      </w:r>
      <w:r w:rsidR="006A64F8">
        <w:rPr>
          <w:rFonts w:ascii="Times New Roman" w:hAnsi="Times New Roman"/>
          <w:sz w:val="22"/>
        </w:rPr>
        <w:t>dissent less often then left-wing MPs, and that this effect was magnified by tenure. Authors link this to the relative ideological distance of MPs to their leaders</w:t>
      </w:r>
    </w:p>
    <w:p w:rsidR="00F65656" w:rsidRPr="00865591" w:rsidRDefault="006A64F8" w:rsidP="006A64F8">
      <w:pPr>
        <w:pStyle w:val="ListParagraph"/>
        <w:numPr>
          <w:ilvl w:val="0"/>
          <w:numId w:val="1"/>
        </w:numPr>
        <w:tabs>
          <w:tab w:val="left" w:pos="3402"/>
        </w:tabs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Authors argue that they have demonstrated that the institution of the party in Parliament does affect behaviour. Party leadership, through the determination of party organization, can have a significant impact on managing backbench behaviour.</w:t>
      </w:r>
    </w:p>
    <w:sectPr w:rsidR="00F65656" w:rsidRPr="00865591" w:rsidSect="00F65656">
      <w:type w:val="continuous"/>
      <w:pgSz w:w="12240" w:h="15840"/>
      <w:pgMar w:top="1304" w:right="1418" w:bottom="130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E096F"/>
    <w:multiLevelType w:val="hybridMultilevel"/>
    <w:tmpl w:val="B914BD34"/>
    <w:lvl w:ilvl="0" w:tplc="DF007EB0">
      <w:start w:val="1"/>
      <w:numFmt w:val="decimal"/>
      <w:lvlText w:val="(%1)"/>
      <w:lvlJc w:val="left"/>
      <w:pPr>
        <w:ind w:left="2480" w:hanging="10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222541F"/>
    <w:multiLevelType w:val="hybridMultilevel"/>
    <w:tmpl w:val="00425456"/>
    <w:lvl w:ilvl="0" w:tplc="FB70888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527F45"/>
    <w:multiLevelType w:val="hybridMultilevel"/>
    <w:tmpl w:val="7DAC8E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65656"/>
    <w:rsid w:val="00486F24"/>
    <w:rsid w:val="006A64F8"/>
    <w:rsid w:val="007E7898"/>
    <w:rsid w:val="00865591"/>
    <w:rsid w:val="00D543D6"/>
    <w:rsid w:val="00EB49EF"/>
    <w:rsid w:val="00F65656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65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86F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 Davidson</dc:creator>
  <cp:keywords/>
  <cp:lastModifiedBy>Adrienne Davidson</cp:lastModifiedBy>
  <cp:revision>1</cp:revision>
  <dcterms:created xsi:type="dcterms:W3CDTF">2012-05-03T01:10:00Z</dcterms:created>
  <dcterms:modified xsi:type="dcterms:W3CDTF">2012-05-03T14:16:00Z</dcterms:modified>
</cp:coreProperties>
</file>